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57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4875"/>
        <w:gridCol w:w="5209"/>
      </w:tblGrid>
      <w:tr w:rsidR="001068E9">
        <w:tc>
          <w:tcPr>
            <w:tcW w:w="15739" w:type="dxa"/>
            <w:gridSpan w:val="3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36"/>
                <w:szCs w:val="36"/>
              </w:rPr>
              <w:t>MUSIC TECHNOLOGY: Year 10</w:t>
            </w:r>
          </w:p>
        </w:tc>
      </w:tr>
      <w:tr w:rsidR="001068E9">
        <w:tc>
          <w:tcPr>
            <w:tcW w:w="15739" w:type="dxa"/>
            <w:gridSpan w:val="3"/>
            <w:shd w:val="clear" w:color="auto" w:fill="FFFFFF"/>
          </w:tcPr>
          <w:p w:rsidR="001068E9" w:rsidRDefault="00BE638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Curriculum Map for the Spring Term of Year 10</w:t>
            </w:r>
          </w:p>
        </w:tc>
      </w:tr>
      <w:tr w:rsidR="001068E9">
        <w:tc>
          <w:tcPr>
            <w:tcW w:w="565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Curriculum overview</w:t>
            </w:r>
          </w:p>
        </w:tc>
        <w:tc>
          <w:tcPr>
            <w:tcW w:w="487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Grading</w:t>
            </w:r>
          </w:p>
        </w:tc>
        <w:tc>
          <w:tcPr>
            <w:tcW w:w="5209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Extra-curricular opportunities</w:t>
            </w:r>
          </w:p>
        </w:tc>
      </w:tr>
      <w:tr w:rsidR="001068E9">
        <w:trPr>
          <w:trHeight w:val="1380"/>
        </w:trPr>
        <w:tc>
          <w:tcPr>
            <w:tcW w:w="5655" w:type="dxa"/>
          </w:tcPr>
          <w:p w:rsidR="001068E9" w:rsidRDefault="00BE6386">
            <w:r>
              <w:t xml:space="preserve">This term students will complete the second and third learning objective from Unit 2 - Sound Creation. This includes composing a piece of music in their chosen style and reviewing the outcome of the Unit 2 assessed coursework. Students will also undertake </w:t>
            </w:r>
            <w:r>
              <w:t>a mock of the practical exam.</w:t>
            </w:r>
          </w:p>
        </w:tc>
        <w:tc>
          <w:tcPr>
            <w:tcW w:w="4875" w:type="dxa"/>
          </w:tcPr>
          <w:p w:rsidR="001068E9" w:rsidRDefault="00BE6386">
            <w:pPr>
              <w:rPr>
                <w:b/>
              </w:rPr>
            </w:pPr>
            <w:r>
              <w:t xml:space="preserve">Each coursework element will be graded with the vocational </w:t>
            </w:r>
            <w:proofErr w:type="gramStart"/>
            <w:r>
              <w:t>qualification marking</w:t>
            </w:r>
            <w:proofErr w:type="gramEnd"/>
            <w:r>
              <w:t xml:space="preserve"> framework and will receive a Pass, Merit or Distinction grade at level 2 Each unit of the course is worth 15% of the final overall grade. The wri</w:t>
            </w:r>
            <w:r>
              <w:t xml:space="preserve">tten exam </w:t>
            </w:r>
            <w:proofErr w:type="gramStart"/>
            <w:r>
              <w:t>will be graded</w:t>
            </w:r>
            <w:proofErr w:type="gramEnd"/>
            <w:r>
              <w:t xml:space="preserve"> from L1P (Level 1 Pass) to L2D (Level 2 Distinction).</w:t>
            </w:r>
          </w:p>
        </w:tc>
        <w:tc>
          <w:tcPr>
            <w:tcW w:w="5209" w:type="dxa"/>
          </w:tcPr>
          <w:p w:rsidR="001068E9" w:rsidRDefault="00BE6386">
            <w:pPr>
              <w:rPr>
                <w:b/>
                <w:sz w:val="12"/>
                <w:szCs w:val="12"/>
              </w:rPr>
            </w:pPr>
            <w:r>
              <w:t xml:space="preserve">All students </w:t>
            </w:r>
            <w:proofErr w:type="gramStart"/>
            <w:r>
              <w:t>are given</w:t>
            </w:r>
            <w:proofErr w:type="gramEnd"/>
            <w:r>
              <w:t xml:space="preserve"> an invitation to become part of the technical crew for the college production and other college music department events including live sound events. See b</w:t>
            </w:r>
            <w:r>
              <w:t>elow.</w:t>
            </w:r>
          </w:p>
        </w:tc>
      </w:tr>
      <w:tr w:rsidR="001068E9">
        <w:trPr>
          <w:trHeight w:val="280"/>
        </w:trPr>
        <w:tc>
          <w:tcPr>
            <w:tcW w:w="565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Unit 2 Creating Music </w:t>
            </w:r>
          </w:p>
        </w:tc>
        <w:tc>
          <w:tcPr>
            <w:tcW w:w="487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Assessment</w:t>
            </w:r>
          </w:p>
        </w:tc>
        <w:tc>
          <w:tcPr>
            <w:tcW w:w="5209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Technical Terms </w:t>
            </w:r>
          </w:p>
        </w:tc>
      </w:tr>
      <w:tr w:rsidR="001068E9">
        <w:trPr>
          <w:trHeight w:val="1680"/>
        </w:trPr>
        <w:tc>
          <w:tcPr>
            <w:tcW w:w="5655" w:type="dxa"/>
          </w:tcPr>
          <w:p w:rsidR="001068E9" w:rsidRDefault="00BE6386">
            <w:r>
              <w:t xml:space="preserve">Students will compose a piece of music 2-3 minutes in length. Which must include a minimum of 4 audio and 4 MIDI tracks using a complete range of editing and plugin tools from within the DAW software. Music </w:t>
            </w:r>
            <w:proofErr w:type="gramStart"/>
            <w:r>
              <w:t>must be originally composed</w:t>
            </w:r>
            <w:proofErr w:type="gramEnd"/>
            <w:r>
              <w:t xml:space="preserve"> although the use of s</w:t>
            </w:r>
            <w:r>
              <w:t>ome samples is allowed. The music must demonstrate the students' understanding of their chosen style and include its key characteristics. Students will also review the process during LO3.</w:t>
            </w:r>
          </w:p>
        </w:tc>
        <w:tc>
          <w:tcPr>
            <w:tcW w:w="4875" w:type="dxa"/>
          </w:tcPr>
          <w:p w:rsidR="001068E9" w:rsidRDefault="00BE6386">
            <w:proofErr w:type="gramStart"/>
            <w:r>
              <w:rPr>
                <w:b/>
              </w:rPr>
              <w:t>Practical  Exam</w:t>
            </w:r>
            <w:proofErr w:type="gramEnd"/>
            <w:r>
              <w:rPr>
                <w:b/>
              </w:rPr>
              <w:t xml:space="preserve">: </w:t>
            </w:r>
            <w:r>
              <w:t>Marked out of 36 using NCFE produced mark scheme.</w:t>
            </w:r>
          </w:p>
          <w:p w:rsidR="001068E9" w:rsidRDefault="00BE6386">
            <w:r>
              <w:rPr>
                <w:b/>
              </w:rPr>
              <w:t>U</w:t>
            </w:r>
            <w:r>
              <w:rPr>
                <w:b/>
              </w:rPr>
              <w:t xml:space="preserve">nit 2 Sound Creation: </w:t>
            </w:r>
            <w:r>
              <w:t xml:space="preserve">LO2 students will compose a piece of music based upon the research carried out in LO1. They must also produce evidence about how the piece </w:t>
            </w:r>
            <w:proofErr w:type="gramStart"/>
            <w:r>
              <w:t>was composed</w:t>
            </w:r>
            <w:proofErr w:type="gramEnd"/>
            <w:r>
              <w:t xml:space="preserve"> in a tutorial style format. LO3 student must </w:t>
            </w:r>
            <w:proofErr w:type="spellStart"/>
            <w:r>
              <w:t>self assess</w:t>
            </w:r>
            <w:proofErr w:type="spellEnd"/>
            <w:r>
              <w:t xml:space="preserve"> and analyse their own wor</w:t>
            </w:r>
            <w:r>
              <w:t>k for areas of strengths and identify technical ways in which it can be improved.</w:t>
            </w:r>
          </w:p>
        </w:tc>
        <w:tc>
          <w:tcPr>
            <w:tcW w:w="5209" w:type="dxa"/>
            <w:vMerge w:val="restart"/>
          </w:tcPr>
          <w:p w:rsidR="001068E9" w:rsidRDefault="00BE6386">
            <w:pPr>
              <w:widowControl w:val="0"/>
              <w:shd w:val="clear" w:color="auto" w:fill="FFFFFF"/>
              <w:spacing w:line="276" w:lineRule="auto"/>
            </w:pPr>
            <w:r>
              <w:rPr>
                <w:b/>
              </w:rPr>
              <w:t xml:space="preserve">Structure: </w:t>
            </w:r>
            <w:r>
              <w:t>common structural ideas; verse/chorus, 12 bar, song structures.</w:t>
            </w:r>
          </w:p>
          <w:p w:rsidR="001068E9" w:rsidRDefault="00BE6386">
            <w:pPr>
              <w:widowControl w:val="0"/>
              <w:shd w:val="clear" w:color="auto" w:fill="FFFFFF"/>
              <w:spacing w:line="276" w:lineRule="auto"/>
            </w:pPr>
            <w:r>
              <w:rPr>
                <w:b/>
              </w:rPr>
              <w:t>Rhythm</w:t>
            </w:r>
            <w:r>
              <w:t xml:space="preserve">: simple and compound time signatures, stylistic rhythmic features </w:t>
            </w:r>
            <w:proofErr w:type="spellStart"/>
            <w:r>
              <w:t>ie</w:t>
            </w:r>
            <w:proofErr w:type="spellEnd"/>
            <w:r>
              <w:t xml:space="preserve"> 4 to the floor bass dru</w:t>
            </w:r>
            <w:r>
              <w:t>m pattern, backbeat</w:t>
            </w:r>
            <w:proofErr w:type="gramStart"/>
            <w:r>
              <w:t>..</w:t>
            </w:r>
            <w:proofErr w:type="gramEnd"/>
          </w:p>
          <w:p w:rsidR="001068E9" w:rsidRDefault="00BE6386">
            <w:pPr>
              <w:widowControl w:val="0"/>
              <w:shd w:val="clear" w:color="auto" w:fill="FFFFFF"/>
              <w:spacing w:line="276" w:lineRule="auto"/>
            </w:pPr>
            <w:r>
              <w:rPr>
                <w:b/>
              </w:rPr>
              <w:t>Instrumentation</w:t>
            </w:r>
            <w:r>
              <w:t>:  commonly used instruments, combinations and textures within popular music.</w:t>
            </w:r>
          </w:p>
          <w:p w:rsidR="001068E9" w:rsidRDefault="00BE6386">
            <w:pPr>
              <w:widowControl w:val="0"/>
              <w:shd w:val="clear" w:color="auto" w:fill="FFFFFF"/>
              <w:spacing w:line="276" w:lineRule="auto"/>
            </w:pPr>
            <w:r>
              <w:rPr>
                <w:b/>
              </w:rPr>
              <w:t>Melody:</w:t>
            </w:r>
            <w:r>
              <w:t xml:space="preserve"> melodic sequences with consideration of diatonic and chromatic features.</w:t>
            </w:r>
          </w:p>
          <w:p w:rsidR="001068E9" w:rsidRDefault="00BE6386">
            <w:pPr>
              <w:widowControl w:val="0"/>
              <w:shd w:val="clear" w:color="auto" w:fill="FFFFFF"/>
              <w:spacing w:line="276" w:lineRule="auto"/>
            </w:pPr>
            <w:r>
              <w:rPr>
                <w:b/>
              </w:rPr>
              <w:t>Harmony:</w:t>
            </w:r>
            <w:r>
              <w:t xml:space="preserve"> simple harmonic features including tonality (major,</w:t>
            </w:r>
            <w:r>
              <w:t xml:space="preserve"> minor).</w:t>
            </w:r>
          </w:p>
          <w:p w:rsidR="001068E9" w:rsidRDefault="00BE6386">
            <w:pPr>
              <w:widowControl w:val="0"/>
              <w:spacing w:line="276" w:lineRule="auto"/>
            </w:pPr>
            <w:r>
              <w:rPr>
                <w:b/>
              </w:rPr>
              <w:t xml:space="preserve">Bouncing out: </w:t>
            </w:r>
            <w:r>
              <w:t>Creation of an exported stereo music file from within a DAW</w:t>
            </w:r>
          </w:p>
          <w:p w:rsidR="001068E9" w:rsidRDefault="00BE6386">
            <w:pPr>
              <w:widowControl w:val="0"/>
              <w:spacing w:line="276" w:lineRule="auto"/>
            </w:pPr>
            <w:r>
              <w:rPr>
                <w:b/>
              </w:rPr>
              <w:t xml:space="preserve">Screenshot: </w:t>
            </w:r>
            <w:r>
              <w:t xml:space="preserve">Process whereby a screenshot of computer screen </w:t>
            </w:r>
            <w:proofErr w:type="gramStart"/>
            <w:r>
              <w:t>is taken</w:t>
            </w:r>
            <w:proofErr w:type="gramEnd"/>
            <w:r>
              <w:t xml:space="preserve"> to show further understanding within a written task.</w:t>
            </w:r>
          </w:p>
          <w:p w:rsidR="001068E9" w:rsidRDefault="00BE6386">
            <w:pPr>
              <w:widowControl w:val="0"/>
              <w:spacing w:line="276" w:lineRule="auto"/>
            </w:pPr>
            <w:r>
              <w:rPr>
                <w:b/>
              </w:rPr>
              <w:t xml:space="preserve">Plugins: </w:t>
            </w:r>
            <w:r>
              <w:t xml:space="preserve">Effects and processing tools which can be </w:t>
            </w:r>
            <w:r>
              <w:t>applied to an individual track within a DAW</w:t>
            </w:r>
          </w:p>
          <w:p w:rsidR="001068E9" w:rsidRDefault="00BE6386">
            <w:pPr>
              <w:widowControl w:val="0"/>
              <w:spacing w:line="276" w:lineRule="auto"/>
            </w:pPr>
            <w:r>
              <w:rPr>
                <w:b/>
              </w:rPr>
              <w:t xml:space="preserve">Editing tools: </w:t>
            </w:r>
            <w:r>
              <w:t xml:space="preserve">DAW program </w:t>
            </w:r>
            <w:proofErr w:type="gramStart"/>
            <w:r>
              <w:t>elements which</w:t>
            </w:r>
            <w:proofErr w:type="gramEnd"/>
            <w:r>
              <w:t xml:space="preserve"> help the editing of music.</w:t>
            </w:r>
          </w:p>
        </w:tc>
      </w:tr>
      <w:tr w:rsidR="001068E9">
        <w:trPr>
          <w:trHeight w:val="480"/>
        </w:trPr>
        <w:tc>
          <w:tcPr>
            <w:tcW w:w="565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Practical Examination</w:t>
            </w:r>
          </w:p>
        </w:tc>
        <w:tc>
          <w:tcPr>
            <w:tcW w:w="487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Feedback</w:t>
            </w:r>
          </w:p>
        </w:tc>
        <w:tc>
          <w:tcPr>
            <w:tcW w:w="5209" w:type="dxa"/>
            <w:vMerge/>
          </w:tcPr>
          <w:p w:rsidR="001068E9" w:rsidRDefault="001068E9">
            <w:pPr>
              <w:widowControl w:val="0"/>
              <w:rPr>
                <w:color w:val="FFFFFF"/>
                <w:sz w:val="28"/>
                <w:szCs w:val="28"/>
              </w:rPr>
            </w:pPr>
          </w:p>
        </w:tc>
      </w:tr>
      <w:tr w:rsidR="001068E9">
        <w:trPr>
          <w:trHeight w:val="1540"/>
        </w:trPr>
        <w:tc>
          <w:tcPr>
            <w:tcW w:w="5655" w:type="dxa"/>
          </w:tcPr>
          <w:p w:rsidR="001068E9" w:rsidRDefault="00BE6386">
            <w:pPr>
              <w:rPr>
                <w:color w:val="FFFFFF"/>
                <w:sz w:val="28"/>
                <w:szCs w:val="28"/>
              </w:rPr>
            </w:pPr>
            <w:r>
              <w:t>Students will prepare for and undertake a mock of the NCFE external practical examination component. Students will work on each section of the exam, further developing skills and time management processes in completing the exam.</w:t>
            </w:r>
          </w:p>
        </w:tc>
        <w:tc>
          <w:tcPr>
            <w:tcW w:w="4875" w:type="dxa"/>
          </w:tcPr>
          <w:p w:rsidR="001068E9" w:rsidRDefault="00BE6386">
            <w:pPr>
              <w:spacing w:after="200"/>
            </w:pPr>
            <w:r>
              <w:t xml:space="preserve">Students will receive ongoing feedback during the course of teaching the units. Formal feedback </w:t>
            </w:r>
            <w:proofErr w:type="gramStart"/>
            <w:r>
              <w:t>cannot be given</w:t>
            </w:r>
            <w:proofErr w:type="gramEnd"/>
            <w:r>
              <w:t xml:space="preserve"> during the assessed coursework periods.  Formal feedback given on assessed work once complete and the written exam.</w:t>
            </w:r>
          </w:p>
        </w:tc>
        <w:tc>
          <w:tcPr>
            <w:tcW w:w="5209" w:type="dxa"/>
            <w:vMerge/>
          </w:tcPr>
          <w:p w:rsidR="001068E9" w:rsidRDefault="001068E9">
            <w:pPr>
              <w:widowControl w:val="0"/>
              <w:rPr>
                <w:b/>
                <w:sz w:val="12"/>
                <w:szCs w:val="12"/>
              </w:rPr>
            </w:pPr>
          </w:p>
        </w:tc>
      </w:tr>
      <w:tr w:rsidR="001068E9">
        <w:trPr>
          <w:trHeight w:val="280"/>
        </w:trPr>
        <w:tc>
          <w:tcPr>
            <w:tcW w:w="565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Home Learning, Revision an</w:t>
            </w:r>
            <w:r>
              <w:rPr>
                <w:color w:val="FFFFFF"/>
                <w:sz w:val="28"/>
                <w:szCs w:val="28"/>
              </w:rPr>
              <w:t xml:space="preserve">d Retrieval </w:t>
            </w:r>
          </w:p>
        </w:tc>
        <w:tc>
          <w:tcPr>
            <w:tcW w:w="4875" w:type="dxa"/>
            <w:shd w:val="clear" w:color="auto" w:fill="2E75B5"/>
          </w:tcPr>
          <w:p w:rsidR="001068E9" w:rsidRDefault="00BE6386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Super-curricular opportunities</w:t>
            </w:r>
          </w:p>
        </w:tc>
        <w:tc>
          <w:tcPr>
            <w:tcW w:w="5209" w:type="dxa"/>
            <w:vMerge/>
          </w:tcPr>
          <w:p w:rsidR="001068E9" w:rsidRDefault="001068E9">
            <w:pPr>
              <w:widowControl w:val="0"/>
              <w:rPr>
                <w:b/>
                <w:sz w:val="12"/>
                <w:szCs w:val="12"/>
              </w:rPr>
            </w:pPr>
          </w:p>
        </w:tc>
      </w:tr>
      <w:tr w:rsidR="001068E9">
        <w:trPr>
          <w:trHeight w:val="1800"/>
        </w:trPr>
        <w:tc>
          <w:tcPr>
            <w:tcW w:w="5655" w:type="dxa"/>
            <w:vMerge w:val="restart"/>
          </w:tcPr>
          <w:p w:rsidR="001068E9" w:rsidRDefault="00BE6386">
            <w:pPr>
              <w:widowControl w:val="0"/>
              <w:rPr>
                <w:b/>
              </w:rPr>
            </w:pPr>
            <w:r>
              <w:t xml:space="preserve">As a guide, students are to spend 1 hour per week on home learning and/ or revision. Home learning projects, when applicable, </w:t>
            </w:r>
            <w:proofErr w:type="gramStart"/>
            <w:r>
              <w:t>will be extended</w:t>
            </w:r>
            <w:proofErr w:type="gramEnd"/>
            <w:r>
              <w:t xml:space="preserve"> pieces of work over multiple weeks encouraging students to develop project management and timing skills.</w:t>
            </w:r>
          </w:p>
        </w:tc>
        <w:tc>
          <w:tcPr>
            <w:tcW w:w="4875" w:type="dxa"/>
            <w:vMerge w:val="restart"/>
          </w:tcPr>
          <w:p w:rsidR="001068E9" w:rsidRDefault="00BE6386">
            <w:r>
              <w:t>Live sou</w:t>
            </w:r>
            <w:r>
              <w:t xml:space="preserve">nd events in school covers music concerts and productions as well as school events including assemblies. Not specifically part of the level </w:t>
            </w:r>
            <w:proofErr w:type="gramStart"/>
            <w:r>
              <w:t>2 specification</w:t>
            </w:r>
            <w:proofErr w:type="gramEnd"/>
            <w:r>
              <w:t xml:space="preserve"> live sound work can be carried out to help advance students and prepare them for level 3 qualificati</w:t>
            </w:r>
            <w:r>
              <w:t>on and apprenticeships.</w:t>
            </w:r>
          </w:p>
        </w:tc>
        <w:tc>
          <w:tcPr>
            <w:tcW w:w="5209" w:type="dxa"/>
            <w:vMerge/>
          </w:tcPr>
          <w:p w:rsidR="001068E9" w:rsidRDefault="001068E9">
            <w:pPr>
              <w:widowControl w:val="0"/>
              <w:rPr>
                <w:b/>
                <w:sz w:val="12"/>
                <w:szCs w:val="12"/>
              </w:rPr>
            </w:pPr>
          </w:p>
        </w:tc>
      </w:tr>
      <w:tr w:rsidR="001068E9">
        <w:trPr>
          <w:trHeight w:val="220"/>
        </w:trPr>
        <w:tc>
          <w:tcPr>
            <w:tcW w:w="5655" w:type="dxa"/>
            <w:vMerge/>
          </w:tcPr>
          <w:p w:rsidR="001068E9" w:rsidRDefault="001068E9">
            <w:pPr>
              <w:rPr>
                <w:b/>
                <w:sz w:val="12"/>
                <w:szCs w:val="12"/>
              </w:rPr>
            </w:pPr>
          </w:p>
        </w:tc>
        <w:tc>
          <w:tcPr>
            <w:tcW w:w="4875" w:type="dxa"/>
            <w:vMerge/>
          </w:tcPr>
          <w:p w:rsidR="001068E9" w:rsidRDefault="001068E9">
            <w:pPr>
              <w:widowControl w:val="0"/>
            </w:pPr>
          </w:p>
        </w:tc>
        <w:tc>
          <w:tcPr>
            <w:tcW w:w="5209" w:type="dxa"/>
            <w:vMerge/>
          </w:tcPr>
          <w:p w:rsidR="001068E9" w:rsidRDefault="001068E9">
            <w:pPr>
              <w:widowControl w:val="0"/>
              <w:rPr>
                <w:b/>
                <w:sz w:val="12"/>
                <w:szCs w:val="12"/>
              </w:rPr>
            </w:pPr>
          </w:p>
        </w:tc>
      </w:tr>
      <w:tr w:rsidR="001068E9">
        <w:trPr>
          <w:trHeight w:val="342"/>
        </w:trPr>
        <w:tc>
          <w:tcPr>
            <w:tcW w:w="5655" w:type="dxa"/>
            <w:vMerge/>
            <w:shd w:val="clear" w:color="auto" w:fill="2E75B5"/>
          </w:tcPr>
          <w:p w:rsidR="001068E9" w:rsidRDefault="001068E9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4875" w:type="dxa"/>
            <w:vMerge/>
            <w:shd w:val="clear" w:color="auto" w:fill="2E75B5"/>
          </w:tcPr>
          <w:p w:rsidR="001068E9" w:rsidRDefault="001068E9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209" w:type="dxa"/>
            <w:vMerge/>
            <w:shd w:val="clear" w:color="auto" w:fill="2E75B5"/>
          </w:tcPr>
          <w:p w:rsidR="001068E9" w:rsidRDefault="001068E9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1068E9">
        <w:trPr>
          <w:trHeight w:val="146"/>
        </w:trPr>
        <w:tc>
          <w:tcPr>
            <w:tcW w:w="5655" w:type="dxa"/>
            <w:vMerge/>
          </w:tcPr>
          <w:p w:rsidR="001068E9" w:rsidRDefault="001068E9">
            <w:pPr>
              <w:rPr>
                <w:b/>
                <w:sz w:val="12"/>
                <w:szCs w:val="12"/>
              </w:rPr>
            </w:pPr>
          </w:p>
        </w:tc>
        <w:tc>
          <w:tcPr>
            <w:tcW w:w="4875" w:type="dxa"/>
            <w:vMerge/>
          </w:tcPr>
          <w:p w:rsidR="001068E9" w:rsidRDefault="001068E9"/>
        </w:tc>
        <w:tc>
          <w:tcPr>
            <w:tcW w:w="5209" w:type="dxa"/>
            <w:vMerge/>
          </w:tcPr>
          <w:p w:rsidR="001068E9" w:rsidRDefault="001068E9">
            <w:pPr>
              <w:widowControl w:val="0"/>
            </w:pPr>
          </w:p>
        </w:tc>
      </w:tr>
    </w:tbl>
    <w:p w:rsidR="001068E9" w:rsidRDefault="001068E9">
      <w:pPr>
        <w:ind w:right="-54"/>
        <w:rPr>
          <w:sz w:val="24"/>
          <w:szCs w:val="24"/>
        </w:rPr>
      </w:pPr>
      <w:bookmarkStart w:id="0" w:name="_GoBack"/>
      <w:bookmarkEnd w:id="0"/>
    </w:p>
    <w:sectPr w:rsidR="001068E9">
      <w:pgSz w:w="16838" w:h="11906"/>
      <w:pgMar w:top="283" w:right="851" w:bottom="709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9"/>
    <w:rsid w:val="001068E9"/>
    <w:rsid w:val="00BE6386"/>
    <w:rsid w:val="00E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DA6B"/>
  <w15:docId w15:val="{88423730-4894-403A-AA23-F984D4E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1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2676"/>
    <w:pPr>
      <w:ind w:left="720"/>
      <w:contextualSpacing/>
    </w:pPr>
  </w:style>
  <w:style w:type="table" w:styleId="TableGrid">
    <w:name w:val="Table Grid"/>
    <w:basedOn w:val="TableNormal"/>
    <w:uiPriority w:val="39"/>
    <w:rsid w:val="00094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7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knXTg0t6n1Lm7087yFsnv78sQ==">AMUW2mW/bcln7TRo9rQZDa2LpyLWBnobIVKRdTbCDC/tpvRdgYOQNDffMe6xp8rihm9MKeqkP8kBJK9LLj71sPOg9CyNX5NOciv2H9YvljiYNhyw5W7v6bcEPNiaRzMJVkpZ7fWJcj36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Wyvern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 Rule</dc:creator>
  <cp:lastModifiedBy>Mr A Veale</cp:lastModifiedBy>
  <cp:revision>3</cp:revision>
  <dcterms:created xsi:type="dcterms:W3CDTF">2019-12-17T14:48:00Z</dcterms:created>
  <dcterms:modified xsi:type="dcterms:W3CDTF">2019-12-17T14:48:00Z</dcterms:modified>
</cp:coreProperties>
</file>